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03125">
      <w:pPr>
        <w:spacing w:before="166" w:line="207" w:lineRule="auto"/>
        <w:ind w:left="2655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基金计提计算方法</w:t>
      </w:r>
    </w:p>
    <w:p w14:paraId="09AFADCA">
      <w:pPr>
        <w:spacing w:line="247" w:lineRule="auto"/>
        <w:rPr>
          <w:rFonts w:ascii="Arial"/>
          <w:sz w:val="21"/>
        </w:rPr>
      </w:pPr>
    </w:p>
    <w:p w14:paraId="5C91001C">
      <w:pPr>
        <w:spacing w:line="247" w:lineRule="auto"/>
        <w:rPr>
          <w:rFonts w:ascii="Arial"/>
          <w:sz w:val="21"/>
        </w:rPr>
      </w:pPr>
    </w:p>
    <w:p w14:paraId="33EBF474">
      <w:pPr>
        <w:pStyle w:val="2"/>
        <w:spacing w:before="101" w:line="339" w:lineRule="auto"/>
        <w:ind w:right="71" w:firstLine="645"/>
        <w:jc w:val="both"/>
      </w:pPr>
      <w:r>
        <w:rPr>
          <w:spacing w:val="3"/>
        </w:rPr>
        <w:t>年度基金提取额</w:t>
      </w:r>
      <w:r>
        <w:rPr>
          <w:rFonts w:ascii="Times New Roman" w:hAnsi="Times New Roman" w:eastAsia="Times New Roman" w:cs="Times New Roman"/>
          <w:spacing w:val="3"/>
        </w:rPr>
        <w:t>=</w:t>
      </w:r>
      <w:r>
        <w:rPr>
          <w:spacing w:val="3"/>
        </w:rPr>
        <w:t>矿类计提基数</w:t>
      </w:r>
      <w:r>
        <w:rPr>
          <w:rFonts w:ascii="Times New Roman" w:hAnsi="Times New Roman" w:eastAsia="Times New Roman" w:cs="Times New Roman"/>
          <w:spacing w:val="3"/>
        </w:rPr>
        <w:t>×</w:t>
      </w:r>
      <w:r>
        <w:rPr>
          <w:spacing w:val="3"/>
        </w:rPr>
        <w:t>露天开采影响系数（或地下</w:t>
      </w:r>
      <w:r>
        <w:rPr>
          <w:spacing w:val="5"/>
        </w:rPr>
        <w:t xml:space="preserve"> </w:t>
      </w:r>
      <w:r>
        <w:rPr>
          <w:spacing w:val="8"/>
        </w:rPr>
        <w:t>开采影响系数）</w:t>
      </w:r>
      <w:r>
        <w:rPr>
          <w:rFonts w:ascii="Times New Roman" w:hAnsi="Times New Roman" w:eastAsia="Times New Roman" w:cs="Times New Roman"/>
          <w:spacing w:val="8"/>
        </w:rPr>
        <w:t>×</w:t>
      </w:r>
      <w:r>
        <w:rPr>
          <w:spacing w:val="8"/>
        </w:rPr>
        <w:t>土地复垦难度影响系数</w:t>
      </w:r>
      <w:r>
        <w:rPr>
          <w:rFonts w:ascii="Times New Roman" w:hAnsi="Times New Roman" w:eastAsia="Times New Roman" w:cs="Times New Roman"/>
          <w:spacing w:val="8"/>
        </w:rPr>
        <w:t>×</w:t>
      </w:r>
      <w:r>
        <w:rPr>
          <w:spacing w:val="8"/>
        </w:rPr>
        <w:t>地区影响系数</w:t>
      </w:r>
      <w:r>
        <w:rPr>
          <w:rFonts w:ascii="Times New Roman" w:hAnsi="Times New Roman" w:eastAsia="Times New Roman" w:cs="Times New Roman"/>
          <w:spacing w:val="8"/>
        </w:rPr>
        <w:t>×</w:t>
      </w:r>
      <w:r>
        <w:rPr>
          <w:spacing w:val="8"/>
        </w:rPr>
        <w:t>煤矿价</w:t>
      </w:r>
      <w:r>
        <w:rPr>
          <w:spacing w:val="15"/>
        </w:rPr>
        <w:t xml:space="preserve"> </w:t>
      </w:r>
      <w:r>
        <w:rPr>
          <w:spacing w:val="9"/>
        </w:rPr>
        <w:t>格影响系数（开采矿种为煤的时候增加该系数）</w:t>
      </w:r>
      <w:r>
        <w:rPr>
          <w:spacing w:val="-117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×</w:t>
      </w:r>
      <w:r>
        <w:rPr>
          <w:spacing w:val="9"/>
        </w:rPr>
        <w:t>上一</w:t>
      </w:r>
      <w:r>
        <w:rPr>
          <w:spacing w:val="8"/>
        </w:rPr>
        <w:t>年度实际</w:t>
      </w:r>
      <w:r>
        <w:t xml:space="preserve"> </w:t>
      </w:r>
      <w:r>
        <w:rPr>
          <w:spacing w:val="7"/>
        </w:rPr>
        <w:t>生产矿石量</w:t>
      </w:r>
    </w:p>
    <w:p w14:paraId="7471468B">
      <w:pPr>
        <w:pStyle w:val="2"/>
        <w:spacing w:before="9" w:line="219" w:lineRule="auto"/>
        <w:ind w:left="649"/>
      </w:pPr>
      <w:r>
        <w:rPr>
          <w:spacing w:val="8"/>
        </w:rPr>
        <w:t>注：计提基金不能低于本矿山企业实际所需费用。</w:t>
      </w:r>
    </w:p>
    <w:p w14:paraId="2F7B6193">
      <w:pPr>
        <w:spacing w:line="324" w:lineRule="auto"/>
        <w:rPr>
          <w:rFonts w:ascii="Arial"/>
          <w:sz w:val="21"/>
        </w:rPr>
      </w:pPr>
    </w:p>
    <w:p w14:paraId="04D5AD6B">
      <w:pPr>
        <w:spacing w:line="325" w:lineRule="auto"/>
        <w:rPr>
          <w:rFonts w:ascii="Arial"/>
          <w:sz w:val="21"/>
        </w:rPr>
      </w:pPr>
    </w:p>
    <w:p w14:paraId="36FC4244">
      <w:pPr>
        <w:spacing w:before="101" w:line="222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一、基金计提的影响系数见下表</w:t>
      </w:r>
    </w:p>
    <w:p w14:paraId="150BA024">
      <w:pPr>
        <w:pStyle w:val="2"/>
        <w:spacing w:before="216" w:line="353" w:lineRule="exact"/>
        <w:ind w:left="1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-1"/>
          <w:position w:val="2"/>
          <w:sz w:val="24"/>
          <w:szCs w:val="24"/>
        </w:rPr>
        <w:t>矿山地质环境治理恢复基金计提基数（元</w:t>
      </w:r>
      <w:r>
        <w:rPr>
          <w:rFonts w:ascii="Times New Roman" w:hAnsi="Times New Roman" w:eastAsia="Times New Roman" w:cs="Times New Roman"/>
          <w:spacing w:val="-1"/>
          <w:position w:val="2"/>
          <w:sz w:val="24"/>
          <w:szCs w:val="24"/>
        </w:rPr>
        <w:t>/</w:t>
      </w:r>
      <w:r>
        <w:rPr>
          <w:spacing w:val="-1"/>
          <w:position w:val="2"/>
          <w:sz w:val="24"/>
          <w:szCs w:val="24"/>
        </w:rPr>
        <w:t>吨（立方米</w:t>
      </w:r>
      <w:r>
        <w:rPr>
          <w:spacing w:val="-54"/>
          <w:position w:val="2"/>
          <w:sz w:val="24"/>
          <w:szCs w:val="24"/>
        </w:rPr>
        <w:t>））</w:t>
      </w:r>
      <w:r>
        <w:rPr>
          <w:spacing w:val="-1"/>
          <w:position w:val="2"/>
          <w:sz w:val="24"/>
          <w:szCs w:val="24"/>
        </w:rPr>
        <w:t>表</w:t>
      </w:r>
      <w:r>
        <w:rPr>
          <w:spacing w:val="-32"/>
          <w:position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2"/>
          <w:sz w:val="24"/>
          <w:szCs w:val="24"/>
        </w:rPr>
        <w:t>1</w:t>
      </w:r>
    </w:p>
    <w:p w14:paraId="32C5DEF2">
      <w:pPr>
        <w:spacing w:line="16" w:lineRule="auto"/>
        <w:rPr>
          <w:rFonts w:ascii="Arial"/>
          <w:sz w:val="2"/>
        </w:rPr>
      </w:pPr>
    </w:p>
    <w:tbl>
      <w:tblPr>
        <w:tblStyle w:val="6"/>
        <w:tblW w:w="8792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1218"/>
        <w:gridCol w:w="2124"/>
        <w:gridCol w:w="1132"/>
        <w:gridCol w:w="1274"/>
        <w:gridCol w:w="1282"/>
      </w:tblGrid>
      <w:tr w14:paraId="7D4A3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762" w:type="dxa"/>
            <w:vAlign w:val="top"/>
          </w:tcPr>
          <w:p w14:paraId="6CE17D42">
            <w:pPr>
              <w:pStyle w:val="7"/>
              <w:spacing w:before="243" w:line="213" w:lineRule="auto"/>
              <w:ind w:left="651"/>
            </w:pPr>
            <w:r>
              <w:rPr>
                <w:spacing w:val="-7"/>
              </w:rPr>
              <w:t>矿类</w:t>
            </w:r>
          </w:p>
        </w:tc>
        <w:tc>
          <w:tcPr>
            <w:tcW w:w="1218" w:type="dxa"/>
            <w:vAlign w:val="top"/>
          </w:tcPr>
          <w:p w14:paraId="1DE0AAB9">
            <w:pPr>
              <w:pStyle w:val="7"/>
              <w:spacing w:before="243" w:line="216" w:lineRule="auto"/>
              <w:ind w:left="154"/>
            </w:pPr>
            <w:r>
              <w:rPr>
                <w:spacing w:val="-8"/>
              </w:rPr>
              <w:t>固体能源</w:t>
            </w:r>
          </w:p>
        </w:tc>
        <w:tc>
          <w:tcPr>
            <w:tcW w:w="2124" w:type="dxa"/>
            <w:vAlign w:val="top"/>
          </w:tcPr>
          <w:p w14:paraId="6D66B001">
            <w:pPr>
              <w:pStyle w:val="7"/>
              <w:spacing w:before="243" w:line="333" w:lineRule="auto"/>
              <w:ind w:left="346" w:right="99" w:hanging="225"/>
            </w:pPr>
            <w:r>
              <w:rPr>
                <w:spacing w:val="-3"/>
              </w:rPr>
              <w:t>非固体能源及矿泉</w:t>
            </w:r>
            <w:r>
              <w:t xml:space="preserve"> </w:t>
            </w:r>
            <w:r>
              <w:rPr>
                <w:spacing w:val="-2"/>
              </w:rPr>
              <w:t>水（含地热）</w:t>
            </w:r>
          </w:p>
        </w:tc>
        <w:tc>
          <w:tcPr>
            <w:tcW w:w="1132" w:type="dxa"/>
            <w:vAlign w:val="top"/>
          </w:tcPr>
          <w:p w14:paraId="1BBE5765">
            <w:pPr>
              <w:pStyle w:val="7"/>
              <w:spacing w:before="244" w:line="216" w:lineRule="auto"/>
              <w:ind w:left="336"/>
            </w:pPr>
            <w:r>
              <w:rPr>
                <w:spacing w:val="-6"/>
              </w:rPr>
              <w:t>金属</w:t>
            </w:r>
          </w:p>
        </w:tc>
        <w:tc>
          <w:tcPr>
            <w:tcW w:w="1274" w:type="dxa"/>
            <w:vAlign w:val="top"/>
          </w:tcPr>
          <w:p w14:paraId="623ADCBA">
            <w:pPr>
              <w:pStyle w:val="7"/>
              <w:spacing w:before="243" w:line="214" w:lineRule="auto"/>
              <w:ind w:left="42"/>
            </w:pPr>
            <w:r>
              <w:rPr>
                <w:spacing w:val="-2"/>
              </w:rPr>
              <w:t>建材非金属</w:t>
            </w:r>
          </w:p>
        </w:tc>
        <w:tc>
          <w:tcPr>
            <w:tcW w:w="1282" w:type="dxa"/>
            <w:vAlign w:val="top"/>
          </w:tcPr>
          <w:p w14:paraId="4F2CDDA3">
            <w:pPr>
              <w:pStyle w:val="7"/>
              <w:spacing w:before="243" w:line="216" w:lineRule="auto"/>
              <w:ind w:left="49"/>
            </w:pPr>
            <w:r>
              <w:rPr>
                <w:spacing w:val="-2"/>
              </w:rPr>
              <w:t>其它非金属</w:t>
            </w:r>
          </w:p>
        </w:tc>
      </w:tr>
      <w:tr w14:paraId="5B258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62" w:type="dxa"/>
            <w:vAlign w:val="top"/>
          </w:tcPr>
          <w:p w14:paraId="3B77C03C">
            <w:pPr>
              <w:pStyle w:val="7"/>
              <w:spacing w:before="245" w:line="215" w:lineRule="auto"/>
              <w:ind w:left="413"/>
            </w:pPr>
            <w:r>
              <w:rPr>
                <w:spacing w:val="-4"/>
              </w:rPr>
              <w:t>计提标准</w:t>
            </w:r>
          </w:p>
        </w:tc>
        <w:tc>
          <w:tcPr>
            <w:tcW w:w="1218" w:type="dxa"/>
            <w:vAlign w:val="top"/>
          </w:tcPr>
          <w:p w14:paraId="621C8DC4">
            <w:pPr>
              <w:spacing w:before="287" w:line="185" w:lineRule="auto"/>
              <w:ind w:left="4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5.5</w:t>
            </w:r>
          </w:p>
        </w:tc>
        <w:tc>
          <w:tcPr>
            <w:tcW w:w="2124" w:type="dxa"/>
            <w:vAlign w:val="top"/>
          </w:tcPr>
          <w:p w14:paraId="47F150DD">
            <w:pPr>
              <w:spacing w:before="206" w:line="315" w:lineRule="exact"/>
              <w:ind w:left="9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4"/>
                <w:szCs w:val="24"/>
              </w:rPr>
              <w:t>1.0</w:t>
            </w:r>
          </w:p>
        </w:tc>
        <w:tc>
          <w:tcPr>
            <w:tcW w:w="1132" w:type="dxa"/>
            <w:vAlign w:val="top"/>
          </w:tcPr>
          <w:p w14:paraId="61498964">
            <w:pPr>
              <w:spacing w:before="206" w:line="315" w:lineRule="exact"/>
              <w:ind w:left="4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3.0</w:t>
            </w:r>
          </w:p>
        </w:tc>
        <w:tc>
          <w:tcPr>
            <w:tcW w:w="1274" w:type="dxa"/>
            <w:vAlign w:val="top"/>
          </w:tcPr>
          <w:p w14:paraId="6A19B686">
            <w:pPr>
              <w:spacing w:before="206" w:line="315" w:lineRule="exact"/>
              <w:ind w:left="4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2.0</w:t>
            </w:r>
          </w:p>
        </w:tc>
        <w:tc>
          <w:tcPr>
            <w:tcW w:w="1282" w:type="dxa"/>
            <w:vAlign w:val="top"/>
          </w:tcPr>
          <w:p w14:paraId="5C03C300">
            <w:pPr>
              <w:spacing w:before="206" w:line="315" w:lineRule="exact"/>
              <w:ind w:left="4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2.5</w:t>
            </w:r>
          </w:p>
        </w:tc>
      </w:tr>
    </w:tbl>
    <w:p w14:paraId="211FFB6F">
      <w:pPr>
        <w:pStyle w:val="2"/>
        <w:spacing w:before="207" w:line="353" w:lineRule="exact"/>
        <w:ind w:left="32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4"/>
          <w:position w:val="2"/>
          <w:sz w:val="24"/>
          <w:szCs w:val="24"/>
        </w:rPr>
        <w:t>露天开采影响系数表</w:t>
      </w:r>
      <w:r>
        <w:rPr>
          <w:rFonts w:ascii="Times New Roman" w:hAnsi="Times New Roman" w:eastAsia="Times New Roman" w:cs="Times New Roman"/>
          <w:spacing w:val="4"/>
          <w:position w:val="2"/>
          <w:sz w:val="24"/>
          <w:szCs w:val="24"/>
        </w:rPr>
        <w:t>2</w:t>
      </w:r>
    </w:p>
    <w:tbl>
      <w:tblPr>
        <w:tblStyle w:val="6"/>
        <w:tblW w:w="8792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1501"/>
        <w:gridCol w:w="1558"/>
        <w:gridCol w:w="1982"/>
        <w:gridCol w:w="1989"/>
      </w:tblGrid>
      <w:tr w14:paraId="0A540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62" w:type="dxa"/>
            <w:vMerge w:val="restart"/>
            <w:tcBorders>
              <w:bottom w:val="nil"/>
            </w:tcBorders>
            <w:vAlign w:val="top"/>
          </w:tcPr>
          <w:p w14:paraId="0967762C">
            <w:pPr>
              <w:rPr>
                <w:rFonts w:ascii="Arial"/>
                <w:sz w:val="21"/>
              </w:rPr>
            </w:pPr>
          </w:p>
          <w:p w14:paraId="1A40EA7F">
            <w:pPr>
              <w:rPr>
                <w:rFonts w:ascii="Arial"/>
                <w:sz w:val="21"/>
              </w:rPr>
            </w:pPr>
          </w:p>
          <w:p w14:paraId="6B4C1A2E">
            <w:pPr>
              <w:spacing w:line="241" w:lineRule="auto"/>
              <w:rPr>
                <w:rFonts w:ascii="Arial"/>
                <w:sz w:val="21"/>
              </w:rPr>
            </w:pPr>
          </w:p>
          <w:p w14:paraId="6B1020D2">
            <w:pPr>
              <w:pStyle w:val="7"/>
              <w:spacing w:before="78" w:line="217" w:lineRule="auto"/>
              <w:ind w:left="415"/>
            </w:pPr>
            <w:r>
              <w:rPr>
                <w:spacing w:val="-5"/>
              </w:rPr>
              <w:t>开拓方式</w:t>
            </w:r>
          </w:p>
        </w:tc>
        <w:tc>
          <w:tcPr>
            <w:tcW w:w="3059" w:type="dxa"/>
            <w:gridSpan w:val="2"/>
            <w:vAlign w:val="top"/>
          </w:tcPr>
          <w:p w14:paraId="1235FB0F">
            <w:pPr>
              <w:pStyle w:val="7"/>
              <w:spacing w:before="242" w:line="216" w:lineRule="auto"/>
              <w:ind w:left="836"/>
            </w:pPr>
            <w:r>
              <w:rPr>
                <w:spacing w:val="-6"/>
              </w:rPr>
              <w:t>固体能源矿产</w:t>
            </w:r>
          </w:p>
        </w:tc>
        <w:tc>
          <w:tcPr>
            <w:tcW w:w="3971" w:type="dxa"/>
            <w:gridSpan w:val="2"/>
            <w:vAlign w:val="top"/>
          </w:tcPr>
          <w:p w14:paraId="4DA96A1D">
            <w:pPr>
              <w:pStyle w:val="7"/>
              <w:spacing w:before="242" w:line="216" w:lineRule="auto"/>
              <w:ind w:left="1034"/>
            </w:pPr>
            <w:r>
              <w:rPr>
                <w:spacing w:val="-2"/>
              </w:rPr>
              <w:t>金属、非金属矿产</w:t>
            </w:r>
          </w:p>
        </w:tc>
      </w:tr>
      <w:tr w14:paraId="761C4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762" w:type="dxa"/>
            <w:vMerge w:val="continue"/>
            <w:tcBorders>
              <w:top w:val="nil"/>
            </w:tcBorders>
            <w:vAlign w:val="top"/>
          </w:tcPr>
          <w:p w14:paraId="6B8903EF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2EF60FF7">
            <w:pPr>
              <w:pStyle w:val="7"/>
              <w:spacing w:before="242" w:line="215" w:lineRule="auto"/>
              <w:ind w:left="80"/>
            </w:pPr>
            <w:r>
              <w:rPr>
                <w:spacing w:val="-9"/>
              </w:rPr>
              <w:t>自上而下水平</w:t>
            </w:r>
          </w:p>
          <w:p w14:paraId="4A699574">
            <w:pPr>
              <w:pStyle w:val="7"/>
              <w:spacing w:before="279" w:line="217" w:lineRule="auto"/>
              <w:ind w:left="519"/>
            </w:pPr>
            <w:r>
              <w:rPr>
                <w:spacing w:val="-6"/>
              </w:rPr>
              <w:t>分层</w:t>
            </w:r>
          </w:p>
        </w:tc>
        <w:tc>
          <w:tcPr>
            <w:tcW w:w="1558" w:type="dxa"/>
            <w:vAlign w:val="top"/>
          </w:tcPr>
          <w:p w14:paraId="3151A71A">
            <w:pPr>
              <w:pStyle w:val="7"/>
              <w:spacing w:before="242" w:line="216" w:lineRule="auto"/>
              <w:ind w:left="185"/>
            </w:pPr>
            <w:r>
              <w:rPr>
                <w:spacing w:val="-2"/>
              </w:rPr>
              <w:t>其他采矿法</w:t>
            </w:r>
          </w:p>
        </w:tc>
        <w:tc>
          <w:tcPr>
            <w:tcW w:w="1982" w:type="dxa"/>
            <w:vAlign w:val="top"/>
          </w:tcPr>
          <w:p w14:paraId="2FBE920D">
            <w:pPr>
              <w:pStyle w:val="7"/>
              <w:spacing w:before="243" w:line="332" w:lineRule="auto"/>
              <w:ind w:left="370" w:right="27" w:hanging="321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露天开采深度（或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高度）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≤30m</w:t>
            </w:r>
          </w:p>
        </w:tc>
        <w:tc>
          <w:tcPr>
            <w:tcW w:w="1989" w:type="dxa"/>
            <w:vAlign w:val="top"/>
          </w:tcPr>
          <w:p w14:paraId="40806B86">
            <w:pPr>
              <w:pStyle w:val="7"/>
              <w:spacing w:before="243" w:line="332" w:lineRule="auto"/>
              <w:ind w:left="370" w:right="31" w:hanging="319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露天开采深度（或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高度）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&gt;30m</w:t>
            </w:r>
          </w:p>
        </w:tc>
      </w:tr>
      <w:tr w14:paraId="19EF7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62" w:type="dxa"/>
            <w:vAlign w:val="top"/>
          </w:tcPr>
          <w:p w14:paraId="34EBC164">
            <w:pPr>
              <w:pStyle w:val="7"/>
              <w:spacing w:before="246" w:line="214" w:lineRule="auto"/>
              <w:ind w:left="415"/>
            </w:pPr>
            <w:r>
              <w:rPr>
                <w:spacing w:val="-5"/>
              </w:rPr>
              <w:t>影响系数</w:t>
            </w:r>
          </w:p>
        </w:tc>
        <w:tc>
          <w:tcPr>
            <w:tcW w:w="1501" w:type="dxa"/>
            <w:vAlign w:val="top"/>
          </w:tcPr>
          <w:p w14:paraId="2DF1D03F">
            <w:pPr>
              <w:spacing w:before="207" w:line="315" w:lineRule="exact"/>
              <w:ind w:left="6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2.0</w:t>
            </w:r>
          </w:p>
        </w:tc>
        <w:tc>
          <w:tcPr>
            <w:tcW w:w="1558" w:type="dxa"/>
            <w:vAlign w:val="top"/>
          </w:tcPr>
          <w:p w14:paraId="70CD94F0">
            <w:pPr>
              <w:spacing w:before="207" w:line="315" w:lineRule="exact"/>
              <w:ind w:left="6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2.5</w:t>
            </w:r>
          </w:p>
        </w:tc>
        <w:tc>
          <w:tcPr>
            <w:tcW w:w="1982" w:type="dxa"/>
            <w:vAlign w:val="top"/>
          </w:tcPr>
          <w:p w14:paraId="39D9AA1F">
            <w:pPr>
              <w:spacing w:before="207" w:line="315" w:lineRule="exact"/>
              <w:ind w:left="8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2.0</w:t>
            </w:r>
          </w:p>
        </w:tc>
        <w:tc>
          <w:tcPr>
            <w:tcW w:w="1989" w:type="dxa"/>
            <w:vAlign w:val="top"/>
          </w:tcPr>
          <w:p w14:paraId="4B4E1E07">
            <w:pPr>
              <w:spacing w:before="207" w:line="315" w:lineRule="exact"/>
              <w:ind w:left="8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2.5</w:t>
            </w:r>
          </w:p>
        </w:tc>
      </w:tr>
    </w:tbl>
    <w:p w14:paraId="7B3FFC26">
      <w:pPr>
        <w:pStyle w:val="2"/>
        <w:spacing w:before="207" w:line="353" w:lineRule="exact"/>
        <w:ind w:left="324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5"/>
          <w:position w:val="2"/>
          <w:sz w:val="24"/>
          <w:szCs w:val="24"/>
        </w:rPr>
        <w:t>地下开采影响系数表</w:t>
      </w:r>
      <w:r>
        <w:rPr>
          <w:rFonts w:ascii="Times New Roman" w:hAnsi="Times New Roman" w:eastAsia="Times New Roman" w:cs="Times New Roman"/>
          <w:spacing w:val="5"/>
          <w:position w:val="2"/>
          <w:sz w:val="24"/>
          <w:szCs w:val="24"/>
        </w:rPr>
        <w:t>3</w:t>
      </w:r>
    </w:p>
    <w:tbl>
      <w:tblPr>
        <w:tblStyle w:val="6"/>
        <w:tblW w:w="8792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851"/>
        <w:gridCol w:w="990"/>
        <w:gridCol w:w="850"/>
        <w:gridCol w:w="850"/>
        <w:gridCol w:w="1132"/>
        <w:gridCol w:w="990"/>
        <w:gridCol w:w="1565"/>
      </w:tblGrid>
      <w:tr w14:paraId="689C0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 w14:paraId="147742AD">
            <w:pPr>
              <w:rPr>
                <w:rFonts w:ascii="Arial"/>
                <w:sz w:val="21"/>
              </w:rPr>
            </w:pPr>
          </w:p>
          <w:p w14:paraId="246DBC1B">
            <w:pPr>
              <w:rPr>
                <w:rFonts w:ascii="Arial"/>
                <w:sz w:val="21"/>
              </w:rPr>
            </w:pPr>
          </w:p>
          <w:p w14:paraId="0E7DA2DB">
            <w:pPr>
              <w:spacing w:line="241" w:lineRule="auto"/>
              <w:rPr>
                <w:rFonts w:ascii="Arial"/>
                <w:sz w:val="21"/>
              </w:rPr>
            </w:pPr>
          </w:p>
          <w:p w14:paraId="16ACA97E">
            <w:pPr>
              <w:pStyle w:val="7"/>
              <w:spacing w:before="78" w:line="217" w:lineRule="auto"/>
              <w:ind w:left="306"/>
            </w:pPr>
            <w:r>
              <w:rPr>
                <w:spacing w:val="-3"/>
              </w:rPr>
              <w:t>采矿方法</w:t>
            </w:r>
          </w:p>
        </w:tc>
        <w:tc>
          <w:tcPr>
            <w:tcW w:w="2691" w:type="dxa"/>
            <w:gridSpan w:val="3"/>
            <w:vAlign w:val="top"/>
          </w:tcPr>
          <w:p w14:paraId="435A7EDB">
            <w:pPr>
              <w:pStyle w:val="7"/>
              <w:spacing w:before="242" w:line="217" w:lineRule="auto"/>
              <w:ind w:left="1132"/>
            </w:pPr>
            <w:r>
              <w:rPr>
                <w:spacing w:val="-15"/>
              </w:rPr>
              <w:t>能源</w:t>
            </w:r>
          </w:p>
        </w:tc>
        <w:tc>
          <w:tcPr>
            <w:tcW w:w="2972" w:type="dxa"/>
            <w:gridSpan w:val="3"/>
            <w:vAlign w:val="top"/>
          </w:tcPr>
          <w:p w14:paraId="0EC8CCFC">
            <w:pPr>
              <w:pStyle w:val="7"/>
              <w:spacing w:before="243" w:line="216" w:lineRule="auto"/>
              <w:ind w:left="774"/>
            </w:pPr>
            <w:r>
              <w:rPr>
                <w:spacing w:val="-2"/>
              </w:rPr>
              <w:t>金属、非金属</w:t>
            </w:r>
          </w:p>
        </w:tc>
        <w:tc>
          <w:tcPr>
            <w:tcW w:w="1565" w:type="dxa"/>
            <w:vMerge w:val="restart"/>
            <w:tcBorders>
              <w:bottom w:val="nil"/>
            </w:tcBorders>
            <w:vAlign w:val="top"/>
          </w:tcPr>
          <w:p w14:paraId="32824E1F">
            <w:pPr>
              <w:pStyle w:val="7"/>
              <w:spacing w:before="240" w:line="367" w:lineRule="auto"/>
              <w:ind w:left="188" w:right="58" w:hanging="104"/>
            </w:pPr>
            <w:r>
              <w:rPr>
                <w:spacing w:val="-4"/>
              </w:rPr>
              <w:t>非固体能源及</w:t>
            </w:r>
            <w:r>
              <w:t xml:space="preserve"> </w:t>
            </w:r>
            <w:r>
              <w:rPr>
                <w:spacing w:val="-2"/>
              </w:rPr>
              <w:t>矿泉水（含</w:t>
            </w:r>
            <w:r>
              <w:t xml:space="preserve">  </w:t>
            </w:r>
            <w:r>
              <w:rPr>
                <w:spacing w:val="-2"/>
              </w:rPr>
              <w:t>地热）采矿</w:t>
            </w:r>
          </w:p>
        </w:tc>
      </w:tr>
      <w:tr w14:paraId="06E45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 w14:paraId="11359664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CBBD93C">
            <w:pPr>
              <w:pStyle w:val="7"/>
              <w:spacing w:before="243" w:line="216" w:lineRule="auto"/>
              <w:ind w:left="75"/>
            </w:pPr>
            <w:r>
              <w:rPr>
                <w:spacing w:val="-6"/>
              </w:rPr>
              <w:t>充填法</w:t>
            </w:r>
          </w:p>
        </w:tc>
        <w:tc>
          <w:tcPr>
            <w:tcW w:w="990" w:type="dxa"/>
            <w:vAlign w:val="top"/>
          </w:tcPr>
          <w:p w14:paraId="602F4159">
            <w:pPr>
              <w:pStyle w:val="7"/>
              <w:spacing w:before="243" w:line="215" w:lineRule="auto"/>
              <w:ind w:left="25"/>
            </w:pPr>
            <w:r>
              <w:rPr>
                <w:spacing w:val="-4"/>
              </w:rPr>
              <w:t>不允许塌</w:t>
            </w:r>
          </w:p>
          <w:p w14:paraId="149247F6">
            <w:pPr>
              <w:pStyle w:val="7"/>
              <w:spacing w:before="279" w:line="217" w:lineRule="auto"/>
              <w:ind w:left="399"/>
            </w:pPr>
            <w:r>
              <w:t>陷</w:t>
            </w:r>
          </w:p>
        </w:tc>
        <w:tc>
          <w:tcPr>
            <w:tcW w:w="850" w:type="dxa"/>
            <w:vAlign w:val="top"/>
          </w:tcPr>
          <w:p w14:paraId="520582BE">
            <w:pPr>
              <w:pStyle w:val="7"/>
              <w:spacing w:before="243" w:line="215" w:lineRule="auto"/>
              <w:ind w:left="82"/>
            </w:pPr>
            <w:r>
              <w:rPr>
                <w:spacing w:val="-7"/>
              </w:rPr>
              <w:t>允许塌</w:t>
            </w:r>
          </w:p>
          <w:p w14:paraId="4EE06A12">
            <w:pPr>
              <w:pStyle w:val="7"/>
              <w:spacing w:before="279" w:line="217" w:lineRule="auto"/>
              <w:ind w:left="331"/>
            </w:pPr>
            <w:r>
              <w:t>陷</w:t>
            </w:r>
          </w:p>
        </w:tc>
        <w:tc>
          <w:tcPr>
            <w:tcW w:w="850" w:type="dxa"/>
            <w:vAlign w:val="top"/>
          </w:tcPr>
          <w:p w14:paraId="029FB25B">
            <w:pPr>
              <w:pStyle w:val="7"/>
              <w:spacing w:before="243" w:line="216" w:lineRule="auto"/>
              <w:ind w:left="77"/>
            </w:pPr>
            <w:r>
              <w:rPr>
                <w:spacing w:val="-6"/>
              </w:rPr>
              <w:t>充填法</w:t>
            </w:r>
          </w:p>
        </w:tc>
        <w:tc>
          <w:tcPr>
            <w:tcW w:w="1132" w:type="dxa"/>
            <w:vAlign w:val="top"/>
          </w:tcPr>
          <w:p w14:paraId="68C0A649">
            <w:pPr>
              <w:pStyle w:val="7"/>
              <w:spacing w:before="243" w:line="215" w:lineRule="auto"/>
              <w:ind w:left="97"/>
            </w:pPr>
            <w:r>
              <w:rPr>
                <w:spacing w:val="-4"/>
              </w:rPr>
              <w:t>不允许塌</w:t>
            </w:r>
          </w:p>
          <w:p w14:paraId="5FFC8642">
            <w:pPr>
              <w:pStyle w:val="7"/>
              <w:spacing w:before="279" w:line="217" w:lineRule="auto"/>
              <w:ind w:left="471"/>
            </w:pPr>
            <w:r>
              <w:t>陷</w:t>
            </w:r>
          </w:p>
        </w:tc>
        <w:tc>
          <w:tcPr>
            <w:tcW w:w="990" w:type="dxa"/>
            <w:vAlign w:val="top"/>
          </w:tcPr>
          <w:p w14:paraId="2E93FBC8">
            <w:pPr>
              <w:pStyle w:val="7"/>
              <w:spacing w:before="243" w:line="215" w:lineRule="auto"/>
              <w:ind w:left="32"/>
            </w:pPr>
            <w:r>
              <w:rPr>
                <w:spacing w:val="-5"/>
              </w:rPr>
              <w:t>允许塌陷</w:t>
            </w:r>
          </w:p>
        </w:tc>
        <w:tc>
          <w:tcPr>
            <w:tcW w:w="1565" w:type="dxa"/>
            <w:vMerge w:val="continue"/>
            <w:tcBorders>
              <w:top w:val="nil"/>
            </w:tcBorders>
            <w:vAlign w:val="top"/>
          </w:tcPr>
          <w:p w14:paraId="7437AA92">
            <w:pPr>
              <w:rPr>
                <w:rFonts w:ascii="Arial"/>
                <w:sz w:val="21"/>
              </w:rPr>
            </w:pPr>
          </w:p>
        </w:tc>
      </w:tr>
    </w:tbl>
    <w:p w14:paraId="44AA1AE5">
      <w:pPr>
        <w:rPr>
          <w:rFonts w:ascii="Arial"/>
          <w:sz w:val="21"/>
        </w:rPr>
      </w:pPr>
    </w:p>
    <w:p w14:paraId="2921349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59" w:bottom="1172" w:left="1542" w:header="0" w:footer="809" w:gutter="0"/>
          <w:cols w:space="720" w:num="1"/>
        </w:sectPr>
      </w:pPr>
    </w:p>
    <w:p w14:paraId="000A49D1">
      <w:pPr>
        <w:spacing w:before="120"/>
      </w:pPr>
    </w:p>
    <w:p w14:paraId="079D6DE3">
      <w:pPr>
        <w:spacing w:before="119"/>
      </w:pPr>
    </w:p>
    <w:tbl>
      <w:tblPr>
        <w:tblStyle w:val="6"/>
        <w:tblW w:w="8792" w:type="dxa"/>
        <w:tblInd w:w="1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851"/>
        <w:gridCol w:w="990"/>
        <w:gridCol w:w="850"/>
        <w:gridCol w:w="850"/>
        <w:gridCol w:w="1132"/>
        <w:gridCol w:w="990"/>
        <w:gridCol w:w="1565"/>
      </w:tblGrid>
      <w:tr w14:paraId="5C497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64" w:type="dxa"/>
            <w:vAlign w:val="top"/>
          </w:tcPr>
          <w:p w14:paraId="2125E132">
            <w:pPr>
              <w:pStyle w:val="7"/>
              <w:spacing w:before="242" w:line="214" w:lineRule="auto"/>
              <w:ind w:left="314"/>
            </w:pPr>
            <w:r>
              <w:rPr>
                <w:spacing w:val="-5"/>
              </w:rPr>
              <w:t>影响系数</w:t>
            </w:r>
          </w:p>
        </w:tc>
        <w:tc>
          <w:tcPr>
            <w:tcW w:w="851" w:type="dxa"/>
            <w:vAlign w:val="top"/>
          </w:tcPr>
          <w:p w14:paraId="7BE95CC0">
            <w:pPr>
              <w:spacing w:before="206" w:line="315" w:lineRule="exact"/>
              <w:ind w:left="2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0.5</w:t>
            </w:r>
          </w:p>
        </w:tc>
        <w:tc>
          <w:tcPr>
            <w:tcW w:w="990" w:type="dxa"/>
            <w:vAlign w:val="top"/>
          </w:tcPr>
          <w:p w14:paraId="181C51BB">
            <w:pPr>
              <w:spacing w:before="206" w:line="315" w:lineRule="exact"/>
              <w:ind w:left="3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0.8</w:t>
            </w:r>
          </w:p>
        </w:tc>
        <w:tc>
          <w:tcPr>
            <w:tcW w:w="850" w:type="dxa"/>
            <w:vAlign w:val="top"/>
          </w:tcPr>
          <w:p w14:paraId="46958E52">
            <w:pPr>
              <w:spacing w:before="206" w:line="315" w:lineRule="exact"/>
              <w:ind w:left="2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4"/>
                <w:szCs w:val="24"/>
              </w:rPr>
              <w:t>1.2</w:t>
            </w:r>
          </w:p>
        </w:tc>
        <w:tc>
          <w:tcPr>
            <w:tcW w:w="850" w:type="dxa"/>
            <w:vAlign w:val="top"/>
          </w:tcPr>
          <w:p w14:paraId="013C380D">
            <w:pPr>
              <w:spacing w:before="206" w:line="315" w:lineRule="exact"/>
              <w:ind w:left="2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0.5</w:t>
            </w:r>
          </w:p>
        </w:tc>
        <w:tc>
          <w:tcPr>
            <w:tcW w:w="1132" w:type="dxa"/>
            <w:vAlign w:val="top"/>
          </w:tcPr>
          <w:p w14:paraId="7136881D">
            <w:pPr>
              <w:spacing w:before="206" w:line="315" w:lineRule="exact"/>
              <w:ind w:left="4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0.8</w:t>
            </w:r>
          </w:p>
        </w:tc>
        <w:tc>
          <w:tcPr>
            <w:tcW w:w="990" w:type="dxa"/>
            <w:vAlign w:val="top"/>
          </w:tcPr>
          <w:p w14:paraId="120013A0">
            <w:pPr>
              <w:spacing w:before="206" w:line="315" w:lineRule="exact"/>
              <w:ind w:left="3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4"/>
                <w:szCs w:val="24"/>
              </w:rPr>
              <w:t>1.2</w:t>
            </w:r>
          </w:p>
        </w:tc>
        <w:tc>
          <w:tcPr>
            <w:tcW w:w="1565" w:type="dxa"/>
            <w:vAlign w:val="top"/>
          </w:tcPr>
          <w:p w14:paraId="17E2C79E">
            <w:pPr>
              <w:spacing w:before="206" w:line="315" w:lineRule="exact"/>
              <w:ind w:left="6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4"/>
                <w:szCs w:val="24"/>
              </w:rPr>
              <w:t>1.0</w:t>
            </w:r>
          </w:p>
        </w:tc>
      </w:tr>
    </w:tbl>
    <w:p w14:paraId="0D4168EE">
      <w:pPr>
        <w:pStyle w:val="2"/>
        <w:spacing w:before="206" w:line="353" w:lineRule="exact"/>
        <w:ind w:left="301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3"/>
          <w:position w:val="2"/>
          <w:sz w:val="24"/>
          <w:szCs w:val="24"/>
        </w:rPr>
        <w:t>土地复垦难度影响系数表</w:t>
      </w:r>
      <w:r>
        <w:rPr>
          <w:rFonts w:ascii="Times New Roman" w:hAnsi="Times New Roman" w:eastAsia="Times New Roman" w:cs="Times New Roman"/>
          <w:spacing w:val="3"/>
          <w:position w:val="2"/>
          <w:sz w:val="24"/>
          <w:szCs w:val="24"/>
        </w:rPr>
        <w:t>4</w:t>
      </w:r>
    </w:p>
    <w:tbl>
      <w:tblPr>
        <w:tblStyle w:val="6"/>
        <w:tblW w:w="8792" w:type="dxa"/>
        <w:tblInd w:w="1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1756"/>
        <w:gridCol w:w="1756"/>
        <w:gridCol w:w="1756"/>
        <w:gridCol w:w="1762"/>
      </w:tblGrid>
      <w:tr w14:paraId="26E0A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62" w:type="dxa"/>
            <w:vAlign w:val="top"/>
          </w:tcPr>
          <w:p w14:paraId="777135C6">
            <w:pPr>
              <w:pStyle w:val="7"/>
              <w:spacing w:before="243" w:line="213" w:lineRule="auto"/>
              <w:ind w:left="410"/>
            </w:pPr>
            <w:r>
              <w:rPr>
                <w:spacing w:val="-4"/>
              </w:rPr>
              <w:t>土地类型</w:t>
            </w:r>
          </w:p>
        </w:tc>
        <w:tc>
          <w:tcPr>
            <w:tcW w:w="1756" w:type="dxa"/>
            <w:vAlign w:val="top"/>
          </w:tcPr>
          <w:p w14:paraId="4CE87D4D">
            <w:pPr>
              <w:pStyle w:val="7"/>
              <w:spacing w:before="243" w:line="216" w:lineRule="auto"/>
              <w:ind w:left="646"/>
            </w:pPr>
            <w:r>
              <w:rPr>
                <w:spacing w:val="-7"/>
              </w:rPr>
              <w:t>耕地</w:t>
            </w:r>
          </w:p>
        </w:tc>
        <w:tc>
          <w:tcPr>
            <w:tcW w:w="1756" w:type="dxa"/>
            <w:vAlign w:val="top"/>
          </w:tcPr>
          <w:p w14:paraId="37A8E643">
            <w:pPr>
              <w:pStyle w:val="7"/>
              <w:spacing w:before="243" w:line="217" w:lineRule="auto"/>
              <w:ind w:left="643"/>
            </w:pPr>
            <w:r>
              <w:rPr>
                <w:spacing w:val="-4"/>
              </w:rPr>
              <w:t>林地</w:t>
            </w:r>
          </w:p>
        </w:tc>
        <w:tc>
          <w:tcPr>
            <w:tcW w:w="1756" w:type="dxa"/>
            <w:vAlign w:val="top"/>
          </w:tcPr>
          <w:p w14:paraId="22D10BC2">
            <w:pPr>
              <w:pStyle w:val="7"/>
              <w:spacing w:before="240" w:line="216" w:lineRule="auto"/>
              <w:ind w:left="652"/>
            </w:pPr>
            <w:r>
              <w:rPr>
                <w:spacing w:val="-8"/>
              </w:rPr>
              <w:t>草地</w:t>
            </w:r>
          </w:p>
        </w:tc>
        <w:tc>
          <w:tcPr>
            <w:tcW w:w="1762" w:type="dxa"/>
            <w:vAlign w:val="top"/>
          </w:tcPr>
          <w:p w14:paraId="59306E03">
            <w:pPr>
              <w:pStyle w:val="7"/>
              <w:spacing w:before="243" w:line="216" w:lineRule="auto"/>
              <w:ind w:left="649"/>
            </w:pPr>
            <w:r>
              <w:rPr>
                <w:spacing w:val="-5"/>
              </w:rPr>
              <w:t>其他</w:t>
            </w:r>
          </w:p>
        </w:tc>
      </w:tr>
      <w:tr w14:paraId="71C46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62" w:type="dxa"/>
            <w:vAlign w:val="top"/>
          </w:tcPr>
          <w:p w14:paraId="5DAF6200">
            <w:pPr>
              <w:pStyle w:val="7"/>
              <w:spacing w:before="243" w:line="214" w:lineRule="auto"/>
              <w:ind w:left="415"/>
            </w:pPr>
            <w:r>
              <w:rPr>
                <w:spacing w:val="-5"/>
              </w:rPr>
              <w:t>影响系数</w:t>
            </w:r>
          </w:p>
        </w:tc>
        <w:tc>
          <w:tcPr>
            <w:tcW w:w="1756" w:type="dxa"/>
            <w:vAlign w:val="top"/>
          </w:tcPr>
          <w:p w14:paraId="613592B3">
            <w:pPr>
              <w:spacing w:before="207" w:line="315" w:lineRule="exact"/>
              <w:ind w:left="7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4"/>
                <w:szCs w:val="24"/>
              </w:rPr>
              <w:t>1.4</w:t>
            </w:r>
          </w:p>
        </w:tc>
        <w:tc>
          <w:tcPr>
            <w:tcW w:w="1756" w:type="dxa"/>
            <w:vAlign w:val="top"/>
          </w:tcPr>
          <w:p w14:paraId="0B28B126">
            <w:pPr>
              <w:spacing w:before="207" w:line="315" w:lineRule="exact"/>
              <w:ind w:left="7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4"/>
                <w:szCs w:val="24"/>
              </w:rPr>
              <w:t>1.2</w:t>
            </w:r>
          </w:p>
        </w:tc>
        <w:tc>
          <w:tcPr>
            <w:tcW w:w="1756" w:type="dxa"/>
            <w:vAlign w:val="top"/>
          </w:tcPr>
          <w:p w14:paraId="30B6BB81">
            <w:pPr>
              <w:spacing w:before="207" w:line="315" w:lineRule="exact"/>
              <w:ind w:left="7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4"/>
                <w:szCs w:val="24"/>
              </w:rPr>
              <w:t>1.0</w:t>
            </w:r>
          </w:p>
        </w:tc>
        <w:tc>
          <w:tcPr>
            <w:tcW w:w="1762" w:type="dxa"/>
            <w:vAlign w:val="top"/>
          </w:tcPr>
          <w:p w14:paraId="4E5C75A8">
            <w:pPr>
              <w:spacing w:before="207" w:line="315" w:lineRule="exact"/>
              <w:ind w:left="7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0.8</w:t>
            </w:r>
          </w:p>
        </w:tc>
      </w:tr>
    </w:tbl>
    <w:p w14:paraId="573E8647">
      <w:pPr>
        <w:pStyle w:val="2"/>
        <w:spacing w:before="243" w:line="214" w:lineRule="auto"/>
        <w:ind w:left="349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-1"/>
          <w:sz w:val="24"/>
          <w:szCs w:val="24"/>
        </w:rPr>
        <w:t>地区影响系数表</w:t>
      </w:r>
      <w:r>
        <w:rPr>
          <w:spacing w:val="-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5</w:t>
      </w:r>
    </w:p>
    <w:p w14:paraId="44A7E2BB">
      <w:pPr>
        <w:spacing w:line="39" w:lineRule="exact"/>
      </w:pPr>
    </w:p>
    <w:tbl>
      <w:tblPr>
        <w:tblStyle w:val="6"/>
        <w:tblW w:w="8792" w:type="dxa"/>
        <w:tblInd w:w="1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2547"/>
        <w:gridCol w:w="1983"/>
        <w:gridCol w:w="2839"/>
      </w:tblGrid>
      <w:tr w14:paraId="72445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8" w:hRule="atLeast"/>
        </w:trPr>
        <w:tc>
          <w:tcPr>
            <w:tcW w:w="1423" w:type="dxa"/>
            <w:vAlign w:val="top"/>
          </w:tcPr>
          <w:p w14:paraId="475A5017">
            <w:pPr>
              <w:spacing w:line="255" w:lineRule="auto"/>
              <w:rPr>
                <w:rFonts w:ascii="Arial"/>
                <w:sz w:val="21"/>
              </w:rPr>
            </w:pPr>
          </w:p>
          <w:p w14:paraId="200F9521">
            <w:pPr>
              <w:spacing w:line="255" w:lineRule="auto"/>
              <w:rPr>
                <w:rFonts w:ascii="Arial"/>
                <w:sz w:val="21"/>
              </w:rPr>
            </w:pPr>
          </w:p>
          <w:p w14:paraId="27B0EF9A">
            <w:pPr>
              <w:spacing w:line="256" w:lineRule="auto"/>
              <w:rPr>
                <w:rFonts w:ascii="Arial"/>
                <w:sz w:val="21"/>
              </w:rPr>
            </w:pPr>
          </w:p>
          <w:p w14:paraId="47D85319">
            <w:pPr>
              <w:spacing w:line="256" w:lineRule="auto"/>
              <w:rPr>
                <w:rFonts w:ascii="Arial"/>
                <w:sz w:val="21"/>
              </w:rPr>
            </w:pPr>
          </w:p>
          <w:p w14:paraId="00B50B84">
            <w:pPr>
              <w:spacing w:line="256" w:lineRule="auto"/>
              <w:rPr>
                <w:rFonts w:ascii="Arial"/>
                <w:sz w:val="21"/>
              </w:rPr>
            </w:pPr>
          </w:p>
          <w:p w14:paraId="181EFE99">
            <w:pPr>
              <w:pStyle w:val="7"/>
              <w:spacing w:before="78" w:line="221" w:lineRule="auto"/>
              <w:ind w:left="474"/>
            </w:pPr>
            <w:r>
              <w:rPr>
                <w:spacing w:val="-4"/>
              </w:rPr>
              <w:t>地区</w:t>
            </w:r>
          </w:p>
        </w:tc>
        <w:tc>
          <w:tcPr>
            <w:tcW w:w="2547" w:type="dxa"/>
            <w:vAlign w:val="top"/>
          </w:tcPr>
          <w:p w14:paraId="6E321A12">
            <w:pPr>
              <w:pStyle w:val="7"/>
              <w:spacing w:before="242" w:line="214" w:lineRule="auto"/>
              <w:ind w:left="98"/>
            </w:pPr>
            <w:r>
              <w:rPr>
                <w:spacing w:val="-3"/>
              </w:rPr>
              <w:t>阿拉善盟、乌海、二连</w:t>
            </w:r>
          </w:p>
          <w:p w14:paraId="2B3D1F7B">
            <w:pPr>
              <w:pStyle w:val="7"/>
              <w:spacing w:before="284" w:line="214" w:lineRule="auto"/>
              <w:ind w:left="91"/>
            </w:pPr>
            <w:r>
              <w:rPr>
                <w:spacing w:val="-2"/>
              </w:rPr>
              <w:t>浩特市、锡林郭勒盟苏</w:t>
            </w:r>
          </w:p>
          <w:p w14:paraId="711FFABB">
            <w:pPr>
              <w:pStyle w:val="7"/>
              <w:spacing w:before="280" w:line="216" w:lineRule="auto"/>
              <w:ind w:left="198"/>
            </w:pPr>
            <w:r>
              <w:rPr>
                <w:spacing w:val="-1"/>
              </w:rPr>
              <w:t>尼特左旗、苏尼特右</w:t>
            </w:r>
          </w:p>
          <w:p w14:paraId="4506486A">
            <w:pPr>
              <w:pStyle w:val="7"/>
              <w:spacing w:before="278" w:line="214" w:lineRule="auto"/>
              <w:ind w:left="83"/>
            </w:pPr>
            <w:r>
              <w:rPr>
                <w:spacing w:val="-2"/>
              </w:rPr>
              <w:t>旗、巴彦淖尔市乌拉特</w:t>
            </w:r>
          </w:p>
          <w:p w14:paraId="03299ACB">
            <w:pPr>
              <w:pStyle w:val="7"/>
              <w:spacing w:before="283" w:line="214" w:lineRule="auto"/>
              <w:ind w:left="83"/>
            </w:pPr>
            <w:r>
              <w:rPr>
                <w:spacing w:val="-1"/>
              </w:rPr>
              <w:t>后旗、乌拉特中旗、鄂</w:t>
            </w:r>
          </w:p>
          <w:p w14:paraId="632ECC33">
            <w:pPr>
              <w:pStyle w:val="7"/>
              <w:spacing w:before="281" w:line="214" w:lineRule="auto"/>
              <w:ind w:left="332"/>
            </w:pPr>
            <w:r>
              <w:rPr>
                <w:spacing w:val="-3"/>
              </w:rPr>
              <w:t>尔多斯市鄂托克旗</w:t>
            </w:r>
          </w:p>
        </w:tc>
        <w:tc>
          <w:tcPr>
            <w:tcW w:w="1983" w:type="dxa"/>
            <w:vAlign w:val="top"/>
          </w:tcPr>
          <w:p w14:paraId="4829DD4E">
            <w:pPr>
              <w:pStyle w:val="7"/>
              <w:spacing w:before="242" w:line="214" w:lineRule="auto"/>
              <w:ind w:left="52"/>
            </w:pPr>
            <w:r>
              <w:rPr>
                <w:spacing w:val="-3"/>
              </w:rPr>
              <w:t>赤峰市、通辽市、</w:t>
            </w:r>
          </w:p>
          <w:p w14:paraId="1B89EC7A">
            <w:pPr>
              <w:pStyle w:val="7"/>
              <w:spacing w:before="283" w:line="214" w:lineRule="auto"/>
              <w:ind w:left="168"/>
            </w:pPr>
            <w:r>
              <w:rPr>
                <w:spacing w:val="-3"/>
              </w:rPr>
              <w:t>兴安盟、满洲里</w:t>
            </w:r>
          </w:p>
          <w:p w14:paraId="11F8DC32">
            <w:pPr>
              <w:pStyle w:val="7"/>
              <w:spacing w:before="281" w:line="214" w:lineRule="auto"/>
              <w:ind w:left="49"/>
            </w:pPr>
            <w:r>
              <w:rPr>
                <w:spacing w:val="-3"/>
              </w:rPr>
              <w:t>市、呼伦贝尔市、</w:t>
            </w:r>
          </w:p>
          <w:p w14:paraId="242C9BB4">
            <w:pPr>
              <w:pStyle w:val="7"/>
              <w:spacing w:before="280" w:line="214" w:lineRule="auto"/>
              <w:ind w:left="158"/>
            </w:pPr>
            <w:r>
              <w:rPr>
                <w:spacing w:val="-2"/>
              </w:rPr>
              <w:t>锡林郭勒盟其他</w:t>
            </w:r>
          </w:p>
          <w:p w14:paraId="50FCE0FE">
            <w:pPr>
              <w:pStyle w:val="7"/>
              <w:spacing w:before="284" w:line="221" w:lineRule="auto"/>
              <w:ind w:left="757"/>
            </w:pPr>
            <w:r>
              <w:rPr>
                <w:spacing w:val="-4"/>
              </w:rPr>
              <w:t>地区</w:t>
            </w:r>
          </w:p>
        </w:tc>
        <w:tc>
          <w:tcPr>
            <w:tcW w:w="2839" w:type="dxa"/>
            <w:vAlign w:val="top"/>
          </w:tcPr>
          <w:p w14:paraId="31DD30D0">
            <w:pPr>
              <w:pStyle w:val="7"/>
              <w:spacing w:before="242" w:line="214" w:lineRule="auto"/>
              <w:ind w:left="238"/>
            </w:pPr>
            <w:r>
              <w:rPr>
                <w:spacing w:val="-2"/>
              </w:rPr>
              <w:t>呼和浩特市、乌兰察布</w:t>
            </w:r>
          </w:p>
          <w:p w14:paraId="0441558C">
            <w:pPr>
              <w:pStyle w:val="7"/>
              <w:spacing w:before="284" w:line="214" w:lineRule="auto"/>
              <w:ind w:left="118"/>
            </w:pPr>
            <w:r>
              <w:rPr>
                <w:spacing w:val="-2"/>
              </w:rPr>
              <w:t>市、包头市、鄂尔多斯市</w:t>
            </w:r>
          </w:p>
          <w:p w14:paraId="1D678E18">
            <w:pPr>
              <w:pStyle w:val="7"/>
              <w:spacing w:before="280" w:line="214" w:lineRule="auto"/>
              <w:ind w:left="108"/>
            </w:pPr>
            <w:r>
              <w:rPr>
                <w:spacing w:val="-1"/>
              </w:rPr>
              <w:t>其它地区、巴彦淖尔其它</w:t>
            </w:r>
          </w:p>
          <w:p w14:paraId="5B90FDB1">
            <w:pPr>
              <w:pStyle w:val="7"/>
              <w:spacing w:before="282" w:line="221" w:lineRule="auto"/>
              <w:ind w:left="1186"/>
            </w:pPr>
            <w:r>
              <w:rPr>
                <w:spacing w:val="-4"/>
              </w:rPr>
              <w:t>地区</w:t>
            </w:r>
          </w:p>
        </w:tc>
      </w:tr>
      <w:tr w14:paraId="31DF4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23" w:type="dxa"/>
            <w:vAlign w:val="top"/>
          </w:tcPr>
          <w:p w14:paraId="62DE3EB9">
            <w:pPr>
              <w:pStyle w:val="7"/>
              <w:spacing w:before="244" w:line="214" w:lineRule="auto"/>
              <w:ind w:left="243"/>
            </w:pPr>
            <w:r>
              <w:rPr>
                <w:spacing w:val="-5"/>
              </w:rPr>
              <w:t>影响系数</w:t>
            </w:r>
          </w:p>
        </w:tc>
        <w:tc>
          <w:tcPr>
            <w:tcW w:w="2547" w:type="dxa"/>
            <w:vAlign w:val="top"/>
          </w:tcPr>
          <w:p w14:paraId="361AF6BC">
            <w:pPr>
              <w:spacing w:before="208" w:line="315" w:lineRule="exact"/>
              <w:ind w:left="11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0.9</w:t>
            </w:r>
          </w:p>
        </w:tc>
        <w:tc>
          <w:tcPr>
            <w:tcW w:w="1983" w:type="dxa"/>
            <w:vAlign w:val="top"/>
          </w:tcPr>
          <w:p w14:paraId="158192D5">
            <w:pPr>
              <w:spacing w:before="208" w:line="315" w:lineRule="exact"/>
              <w:ind w:left="8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4"/>
                <w:szCs w:val="24"/>
              </w:rPr>
              <w:t>1.0</w:t>
            </w:r>
          </w:p>
        </w:tc>
        <w:tc>
          <w:tcPr>
            <w:tcW w:w="2839" w:type="dxa"/>
            <w:vAlign w:val="top"/>
          </w:tcPr>
          <w:p w14:paraId="4788B9D2">
            <w:pPr>
              <w:spacing w:before="208" w:line="315" w:lineRule="exact"/>
              <w:ind w:left="12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4"/>
                <w:szCs w:val="24"/>
              </w:rPr>
              <w:t>1.1</w:t>
            </w:r>
          </w:p>
        </w:tc>
      </w:tr>
    </w:tbl>
    <w:p w14:paraId="370CADCB">
      <w:pPr>
        <w:pStyle w:val="2"/>
        <w:spacing w:before="205" w:line="354" w:lineRule="exact"/>
        <w:ind w:left="32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5"/>
          <w:position w:val="2"/>
          <w:sz w:val="24"/>
          <w:szCs w:val="24"/>
        </w:rPr>
        <w:t>煤矿价格影响系数表</w:t>
      </w:r>
      <w:r>
        <w:rPr>
          <w:rFonts w:ascii="Times New Roman" w:hAnsi="Times New Roman" w:eastAsia="Times New Roman" w:cs="Times New Roman"/>
          <w:spacing w:val="5"/>
          <w:position w:val="2"/>
          <w:sz w:val="24"/>
          <w:szCs w:val="24"/>
        </w:rPr>
        <w:t>6</w:t>
      </w:r>
    </w:p>
    <w:tbl>
      <w:tblPr>
        <w:tblStyle w:val="6"/>
        <w:tblW w:w="8792" w:type="dxa"/>
        <w:tblInd w:w="1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840"/>
        <w:gridCol w:w="1846"/>
        <w:gridCol w:w="1694"/>
        <w:gridCol w:w="1989"/>
      </w:tblGrid>
      <w:tr w14:paraId="50B05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1423" w:type="dxa"/>
            <w:vAlign w:val="top"/>
          </w:tcPr>
          <w:p w14:paraId="242FDECC">
            <w:pPr>
              <w:pStyle w:val="7"/>
              <w:spacing w:before="242" w:line="214" w:lineRule="auto"/>
              <w:ind w:left="476"/>
            </w:pPr>
            <w:r>
              <w:rPr>
                <w:spacing w:val="-5"/>
              </w:rPr>
              <w:t>价格</w:t>
            </w:r>
          </w:p>
        </w:tc>
        <w:tc>
          <w:tcPr>
            <w:tcW w:w="1840" w:type="dxa"/>
            <w:vAlign w:val="top"/>
          </w:tcPr>
          <w:p w14:paraId="62006241">
            <w:pPr>
              <w:pStyle w:val="7"/>
              <w:spacing w:before="208" w:line="416" w:lineRule="auto"/>
              <w:ind w:left="818" w:right="6" w:hanging="806"/>
            </w:pPr>
            <w:r>
              <w:rPr>
                <w:spacing w:val="-3"/>
              </w:rPr>
              <w:t>销售价格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&lt;300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3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t>吨</w:t>
            </w:r>
          </w:p>
        </w:tc>
        <w:tc>
          <w:tcPr>
            <w:tcW w:w="1846" w:type="dxa"/>
            <w:vAlign w:val="top"/>
          </w:tcPr>
          <w:p w14:paraId="69842257">
            <w:pPr>
              <w:pStyle w:val="7"/>
              <w:spacing w:before="206" w:line="357" w:lineRule="exact"/>
              <w:ind w:left="262"/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/</w:t>
            </w:r>
            <w:r>
              <w:rPr>
                <w:spacing w:val="-4"/>
                <w:position w:val="2"/>
              </w:rPr>
              <w:t>吨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≤</w:t>
            </w:r>
            <w:r>
              <w:rPr>
                <w:spacing w:val="-4"/>
                <w:position w:val="2"/>
              </w:rPr>
              <w:t>销</w:t>
            </w:r>
          </w:p>
          <w:p w14:paraId="799DF35C">
            <w:pPr>
              <w:pStyle w:val="7"/>
              <w:spacing w:before="202" w:line="354" w:lineRule="exact"/>
              <w:ind w:left="141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  <w:position w:val="2"/>
              </w:rPr>
              <w:t>售价格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&lt;500</w:t>
            </w:r>
            <w:r>
              <w:rPr>
                <w:rFonts w:ascii="Times New Roman" w:hAnsi="Times New Roman" w:eastAsia="Times New Roman" w:cs="Times New Roman"/>
                <w:spacing w:val="23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/</w:t>
            </w:r>
          </w:p>
          <w:p w14:paraId="27A3FBFF">
            <w:pPr>
              <w:pStyle w:val="7"/>
              <w:spacing w:before="244" w:line="221" w:lineRule="auto"/>
              <w:ind w:left="821"/>
            </w:pPr>
            <w:r>
              <w:t>吨</w:t>
            </w:r>
          </w:p>
        </w:tc>
        <w:tc>
          <w:tcPr>
            <w:tcW w:w="1694" w:type="dxa"/>
            <w:vAlign w:val="top"/>
          </w:tcPr>
          <w:p w14:paraId="176F6128">
            <w:pPr>
              <w:pStyle w:val="7"/>
              <w:spacing w:before="206" w:line="357" w:lineRule="exact"/>
              <w:ind w:left="188"/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/</w:t>
            </w:r>
            <w:r>
              <w:rPr>
                <w:spacing w:val="-4"/>
                <w:position w:val="2"/>
              </w:rPr>
              <w:t>吨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≤</w:t>
            </w:r>
            <w:r>
              <w:rPr>
                <w:spacing w:val="-4"/>
                <w:position w:val="2"/>
              </w:rPr>
              <w:t>销</w:t>
            </w:r>
          </w:p>
          <w:p w14:paraId="6D9A5642">
            <w:pPr>
              <w:pStyle w:val="7"/>
              <w:spacing w:before="202" w:line="354" w:lineRule="exact"/>
              <w:ind w:left="99"/>
            </w:pPr>
            <w:r>
              <w:rPr>
                <w:spacing w:val="-2"/>
                <w:position w:val="2"/>
              </w:rPr>
              <w:t>售价格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</w:rPr>
              <w:t>&lt;800</w:t>
            </w:r>
            <w:r>
              <w:rPr>
                <w:rFonts w:ascii="Times New Roman" w:hAnsi="Times New Roman" w:eastAsia="Times New Roman" w:cs="Times New Roman"/>
                <w:spacing w:val="20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>元</w:t>
            </w:r>
          </w:p>
          <w:p w14:paraId="6446228E">
            <w:pPr>
              <w:pStyle w:val="7"/>
              <w:spacing w:before="205" w:line="343" w:lineRule="exact"/>
              <w:ind w:left="693"/>
            </w:pPr>
            <w:r>
              <w:rPr>
                <w:rFonts w:ascii="Times New Roman" w:hAnsi="Times New Roman" w:eastAsia="Times New Roman" w:cs="Times New Roman"/>
                <w:position w:val="1"/>
              </w:rPr>
              <w:t>/</w:t>
            </w:r>
            <w:r>
              <w:rPr>
                <w:position w:val="1"/>
              </w:rPr>
              <w:t>吨</w:t>
            </w:r>
          </w:p>
        </w:tc>
        <w:tc>
          <w:tcPr>
            <w:tcW w:w="1989" w:type="dxa"/>
            <w:vAlign w:val="top"/>
          </w:tcPr>
          <w:p w14:paraId="03BD7568">
            <w:pPr>
              <w:pStyle w:val="7"/>
              <w:spacing w:before="208" w:line="416" w:lineRule="auto"/>
              <w:ind w:left="895" w:right="80" w:hanging="806"/>
            </w:pPr>
            <w:r>
              <w:rPr>
                <w:spacing w:val="-3"/>
              </w:rPr>
              <w:t>销售价格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≥800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3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t>吨</w:t>
            </w:r>
          </w:p>
        </w:tc>
      </w:tr>
      <w:tr w14:paraId="59924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23" w:type="dxa"/>
            <w:vAlign w:val="top"/>
          </w:tcPr>
          <w:p w14:paraId="432BF762">
            <w:pPr>
              <w:pStyle w:val="7"/>
              <w:spacing w:before="244" w:line="214" w:lineRule="auto"/>
              <w:ind w:left="243"/>
            </w:pPr>
            <w:r>
              <w:rPr>
                <w:spacing w:val="-5"/>
              </w:rPr>
              <w:t>影响系数</w:t>
            </w:r>
          </w:p>
        </w:tc>
        <w:tc>
          <w:tcPr>
            <w:tcW w:w="1840" w:type="dxa"/>
            <w:vAlign w:val="top"/>
          </w:tcPr>
          <w:p w14:paraId="73F1E44E">
            <w:pPr>
              <w:spacing w:before="208" w:line="315" w:lineRule="exact"/>
              <w:ind w:left="7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4"/>
                <w:szCs w:val="24"/>
              </w:rPr>
              <w:t>1.0</w:t>
            </w:r>
          </w:p>
        </w:tc>
        <w:tc>
          <w:tcPr>
            <w:tcW w:w="1846" w:type="dxa"/>
            <w:vAlign w:val="top"/>
          </w:tcPr>
          <w:p w14:paraId="62AD7E06">
            <w:pPr>
              <w:spacing w:before="208" w:line="315" w:lineRule="exact"/>
              <w:ind w:left="7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4"/>
                <w:szCs w:val="24"/>
              </w:rPr>
              <w:t>1.1</w:t>
            </w:r>
          </w:p>
        </w:tc>
        <w:tc>
          <w:tcPr>
            <w:tcW w:w="1694" w:type="dxa"/>
            <w:vAlign w:val="top"/>
          </w:tcPr>
          <w:p w14:paraId="2B5E611E">
            <w:pPr>
              <w:spacing w:before="208" w:line="315" w:lineRule="exact"/>
              <w:ind w:left="7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4"/>
                <w:szCs w:val="24"/>
              </w:rPr>
              <w:t>1.2</w:t>
            </w:r>
          </w:p>
        </w:tc>
        <w:tc>
          <w:tcPr>
            <w:tcW w:w="1989" w:type="dxa"/>
            <w:vAlign w:val="top"/>
          </w:tcPr>
          <w:p w14:paraId="2A515BC1">
            <w:pPr>
              <w:spacing w:before="208" w:line="315" w:lineRule="exact"/>
              <w:ind w:left="8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24"/>
                <w:szCs w:val="24"/>
              </w:rPr>
              <w:t>1.3</w:t>
            </w:r>
          </w:p>
        </w:tc>
      </w:tr>
    </w:tbl>
    <w:p w14:paraId="2DF8A403">
      <w:pPr>
        <w:spacing w:before="1" w:line="316" w:lineRule="auto"/>
        <w:rPr>
          <w:rFonts w:ascii="Arial"/>
          <w:sz w:val="21"/>
        </w:rPr>
      </w:pPr>
    </w:p>
    <w:p w14:paraId="0A321373">
      <w:pPr>
        <w:spacing w:line="316" w:lineRule="auto"/>
        <w:rPr>
          <w:rFonts w:ascii="Arial"/>
          <w:sz w:val="21"/>
        </w:rPr>
      </w:pPr>
    </w:p>
    <w:p w14:paraId="7C0EB564">
      <w:pPr>
        <w:pStyle w:val="2"/>
        <w:spacing w:before="101" w:line="332" w:lineRule="auto"/>
        <w:ind w:firstLine="645"/>
      </w:pPr>
      <w:r>
        <w:rPr>
          <w:spacing w:val="5"/>
        </w:rPr>
        <w:t>说明：煤矿价格影响系数是指基金计算针对固体能</w:t>
      </w:r>
      <w:r>
        <w:rPr>
          <w:spacing w:val="4"/>
        </w:rPr>
        <w:t>源矿产中</w:t>
      </w:r>
      <w:r>
        <w:t xml:space="preserve">  </w:t>
      </w:r>
      <w:r>
        <w:rPr>
          <w:spacing w:val="3"/>
        </w:rPr>
        <w:t>煤矿额外增加的价格影响系数，采用基金计提时的煤矿坑口价格。</w:t>
      </w:r>
    </w:p>
    <w:p w14:paraId="4E361317">
      <w:pPr>
        <w:pStyle w:val="2"/>
        <w:spacing w:before="6" w:line="332" w:lineRule="auto"/>
        <w:ind w:left="18" w:right="249" w:firstLine="630"/>
      </w:pPr>
      <w:r>
        <w:rPr>
          <w:spacing w:val="17"/>
        </w:rPr>
        <w:t>土地复垦难度影响系数应根据采矿影响范围内损毁土地类</w:t>
      </w:r>
      <w:r>
        <w:rPr>
          <w:spacing w:val="10"/>
        </w:rPr>
        <w:t xml:space="preserve"> </w:t>
      </w:r>
      <w:r>
        <w:rPr>
          <w:spacing w:val="7"/>
        </w:rPr>
        <w:t>型占比采用加权平均法计算得出。</w:t>
      </w:r>
    </w:p>
    <w:p w14:paraId="4CF62CF5">
      <w:pPr>
        <w:spacing w:line="332" w:lineRule="auto"/>
        <w:sectPr>
          <w:footerReference r:id="rId6" w:type="default"/>
          <w:pgSz w:w="11906" w:h="16839"/>
          <w:pgMar w:top="1431" w:right="1281" w:bottom="1172" w:left="1538" w:header="0" w:footer="807" w:gutter="0"/>
          <w:cols w:space="720" w:num="1"/>
        </w:sectPr>
      </w:pPr>
    </w:p>
    <w:p w14:paraId="2E1C8A88">
      <w:pPr>
        <w:spacing w:line="269" w:lineRule="auto"/>
        <w:rPr>
          <w:rFonts w:ascii="Arial"/>
          <w:sz w:val="21"/>
        </w:rPr>
      </w:pPr>
    </w:p>
    <w:p w14:paraId="06CEABFB">
      <w:pPr>
        <w:spacing w:line="270" w:lineRule="auto"/>
        <w:rPr>
          <w:rFonts w:ascii="Arial"/>
          <w:sz w:val="21"/>
        </w:rPr>
      </w:pPr>
    </w:p>
    <w:p w14:paraId="005D7D2A">
      <w:pPr>
        <w:spacing w:line="270" w:lineRule="auto"/>
        <w:rPr>
          <w:rFonts w:ascii="Arial"/>
          <w:sz w:val="21"/>
        </w:rPr>
      </w:pPr>
    </w:p>
    <w:p w14:paraId="4E3002C8">
      <w:pPr>
        <w:spacing w:line="270" w:lineRule="auto"/>
        <w:rPr>
          <w:rFonts w:ascii="Arial"/>
          <w:sz w:val="21"/>
        </w:rPr>
      </w:pPr>
    </w:p>
    <w:p w14:paraId="0087FE72">
      <w:pPr>
        <w:spacing w:line="270" w:lineRule="auto"/>
        <w:rPr>
          <w:rFonts w:ascii="Arial"/>
          <w:sz w:val="21"/>
        </w:rPr>
      </w:pPr>
    </w:p>
    <w:p w14:paraId="251CA338">
      <w:pPr>
        <w:spacing w:before="101" w:line="222" w:lineRule="auto"/>
        <w:ind w:left="6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二、计算方法事例</w:t>
      </w:r>
    </w:p>
    <w:p w14:paraId="1D41F402">
      <w:pPr>
        <w:pStyle w:val="2"/>
        <w:spacing w:before="144" w:line="333" w:lineRule="auto"/>
        <w:ind w:left="7" w:right="8" w:firstLine="635"/>
        <w:jc w:val="both"/>
      </w:pPr>
      <w:r>
        <w:rPr>
          <w:spacing w:val="5"/>
        </w:rPr>
        <w:t>例如：鄂尔多斯市准格尔旗某煤矿可采资源总矿</w:t>
      </w:r>
      <w:r>
        <w:rPr>
          <w:spacing w:val="4"/>
        </w:rPr>
        <w:t>石量为</w:t>
      </w:r>
      <w:r>
        <w:rPr>
          <w:rFonts w:ascii="Times New Roman" w:hAnsi="Times New Roman" w:eastAsia="Times New Roman" w:cs="Times New Roman"/>
          <w:spacing w:val="4"/>
        </w:rPr>
        <w:t>6000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7"/>
        </w:rPr>
        <w:t>万吨，坑口价格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400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7"/>
        </w:rPr>
        <w:t>元，</w:t>
      </w:r>
      <w:r>
        <w:rPr>
          <w:rFonts w:ascii="Times New Roman" w:hAnsi="Times New Roman" w:eastAsia="Times New Roman" w:cs="Times New Roman"/>
          <w:spacing w:val="7"/>
        </w:rPr>
        <w:t>2023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7"/>
        </w:rPr>
        <w:t>年度产出矿石量为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120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7"/>
        </w:rPr>
        <w:t>万吨，开</w:t>
      </w:r>
      <w:r>
        <w:t xml:space="preserve"> </w:t>
      </w:r>
      <w:r>
        <w:rPr>
          <w:spacing w:val="8"/>
        </w:rPr>
        <w:t>采方式为露天自上而下水平分层采矿法，损毁土地面积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rFonts w:ascii="Times New Roman" w:hAnsi="Times New Roman" w:eastAsia="Times New Roman" w:cs="Times New Roman"/>
        </w:rPr>
        <w:t>km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8"/>
        </w:rPr>
        <w:t>，</w:t>
      </w:r>
      <w:r>
        <w:t xml:space="preserve"> </w:t>
      </w:r>
      <w:r>
        <w:rPr>
          <w:spacing w:val="5"/>
        </w:rPr>
        <w:t>损毁土地（根据矿山地质环境保护与土地复垦方案所述已损毁和</w:t>
      </w:r>
      <w:r>
        <w:rPr>
          <w:spacing w:val="7"/>
        </w:rPr>
        <w:t xml:space="preserve"> 拟损毁面积的和）类型分别为草地</w:t>
      </w:r>
      <w:r>
        <w:rPr>
          <w:rFonts w:ascii="Times New Roman" w:hAnsi="Times New Roman" w:eastAsia="Times New Roman" w:cs="Times New Roman"/>
          <w:spacing w:val="7"/>
        </w:rPr>
        <w:t>2.5</w:t>
      </w:r>
      <w:r>
        <w:rPr>
          <w:rFonts w:ascii="Times New Roman" w:hAnsi="Times New Roman" w:eastAsia="Times New Roman" w:cs="Times New Roman"/>
        </w:rPr>
        <w:t>km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7"/>
        </w:rPr>
        <w:t>，林地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1.5</w:t>
      </w:r>
      <w:r>
        <w:rPr>
          <w:rFonts w:ascii="Times New Roman" w:hAnsi="Times New Roman" w:eastAsia="Times New Roman" w:cs="Times New Roman"/>
        </w:rPr>
        <w:t>km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7"/>
        </w:rPr>
        <w:t>，耕地</w:t>
      </w:r>
      <w: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</w:rPr>
        <w:t>km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。</w:t>
      </w:r>
    </w:p>
    <w:p w14:paraId="02CCE19F">
      <w:pPr>
        <w:pStyle w:val="2"/>
        <w:spacing w:before="4" w:line="331" w:lineRule="auto"/>
        <w:ind w:firstLine="643"/>
        <w:jc w:val="both"/>
      </w:pPr>
      <w:r>
        <w:rPr>
          <w:rFonts w:ascii="Times New Roman" w:hAnsi="Times New Roman" w:eastAsia="Times New Roman" w:cs="Times New Roman"/>
          <w:spacing w:val="3"/>
        </w:rPr>
        <w:t xml:space="preserve">2024 </w:t>
      </w:r>
      <w:r>
        <w:rPr>
          <w:spacing w:val="3"/>
        </w:rPr>
        <w:t>年度提取基金额度计算方法为：</w:t>
      </w:r>
      <w:r>
        <w:rPr>
          <w:rFonts w:ascii="Times New Roman" w:hAnsi="Times New Roman" w:eastAsia="Times New Roman" w:cs="Times New Roman"/>
          <w:spacing w:val="3"/>
        </w:rPr>
        <w:t>5.5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3"/>
        </w:rPr>
        <w:t>元</w:t>
      </w:r>
      <w:r>
        <w:rPr>
          <w:rFonts w:ascii="Times New Roman" w:hAnsi="Times New Roman" w:eastAsia="Times New Roman" w:cs="Times New Roman"/>
          <w:spacing w:val="3"/>
        </w:rPr>
        <w:t>/</w:t>
      </w:r>
      <w:r>
        <w:rPr>
          <w:spacing w:val="3"/>
        </w:rPr>
        <w:t>吨（固体能源矿</w:t>
      </w:r>
      <w:r>
        <w:t xml:space="preserve"> </w:t>
      </w:r>
      <w:r>
        <w:rPr>
          <w:spacing w:val="-7"/>
        </w:rPr>
        <w:t>类计提基数）</w:t>
      </w:r>
      <w:r>
        <w:rPr>
          <w:rFonts w:ascii="Times New Roman" w:hAnsi="Times New Roman" w:eastAsia="Times New Roman" w:cs="Times New Roman"/>
          <w:spacing w:val="-7"/>
        </w:rPr>
        <w:t>×2.0</w:t>
      </w:r>
      <w:r>
        <w:rPr>
          <w:spacing w:val="-7"/>
        </w:rPr>
        <w:t>（</w:t>
      </w:r>
      <w:r>
        <w:rPr>
          <w:spacing w:val="-73"/>
        </w:rPr>
        <w:t xml:space="preserve"> </w:t>
      </w:r>
      <w:r>
        <w:rPr>
          <w:spacing w:val="-7"/>
        </w:rPr>
        <w:t>自上而下水平分层）</w:t>
      </w:r>
      <w:r>
        <w:rPr>
          <w:rFonts w:ascii="Times New Roman" w:hAnsi="Times New Roman" w:eastAsia="Times New Roman" w:cs="Times New Roman"/>
          <w:spacing w:val="-7"/>
        </w:rPr>
        <w:t>×[</w:t>
      </w:r>
      <w:r>
        <w:rPr>
          <w:spacing w:val="-7"/>
        </w:rPr>
        <w:t>（</w:t>
      </w:r>
      <w:r>
        <w:rPr>
          <w:rFonts w:ascii="Times New Roman" w:hAnsi="Times New Roman" w:eastAsia="Times New Roman" w:cs="Times New Roman"/>
          <w:spacing w:val="-7"/>
        </w:rPr>
        <w:t>2.5</w:t>
      </w:r>
      <w:r>
        <w:rPr>
          <w:spacing w:val="-7"/>
        </w:rPr>
        <w:t>（草地）</w:t>
      </w:r>
      <w:r>
        <w:rPr>
          <w:rFonts w:ascii="Times New Roman" w:hAnsi="Times New Roman" w:eastAsia="Times New Roman" w:cs="Times New Roman"/>
          <w:spacing w:val="-7"/>
        </w:rPr>
        <w:t>/5</w:t>
      </w:r>
      <w:r>
        <w:rPr>
          <w:spacing w:val="-7"/>
        </w:rPr>
        <w:t>）</w:t>
      </w:r>
      <w:r>
        <w:rPr>
          <w:rFonts w:ascii="Times New Roman" w:hAnsi="Times New Roman" w:eastAsia="Times New Roman" w:cs="Times New Roman"/>
          <w:spacing w:val="-7"/>
        </w:rPr>
        <w:t>×1.0+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1.5</w:t>
      </w:r>
      <w:r>
        <w:rPr>
          <w:spacing w:val="7"/>
        </w:rPr>
        <w:t>（林地）</w:t>
      </w:r>
      <w:r>
        <w:rPr>
          <w:rFonts w:ascii="Times New Roman" w:hAnsi="Times New Roman" w:eastAsia="Times New Roman" w:cs="Times New Roman"/>
          <w:spacing w:val="7"/>
        </w:rPr>
        <w:t>/5</w:t>
      </w:r>
      <w:r>
        <w:rPr>
          <w:spacing w:val="7"/>
        </w:rPr>
        <w:t>）</w:t>
      </w:r>
      <w:r>
        <w:rPr>
          <w:rFonts w:ascii="Times New Roman" w:hAnsi="Times New Roman" w:eastAsia="Times New Roman" w:cs="Times New Roman"/>
          <w:spacing w:val="7"/>
        </w:rPr>
        <w:t>×1.2+</w:t>
      </w: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（耕地）</w:t>
      </w:r>
      <w:r>
        <w:rPr>
          <w:rFonts w:ascii="Times New Roman" w:hAnsi="Times New Roman" w:eastAsia="Times New Roman" w:cs="Times New Roman"/>
          <w:spacing w:val="7"/>
        </w:rPr>
        <w:t>/5</w:t>
      </w:r>
      <w:r>
        <w:rPr>
          <w:spacing w:val="7"/>
        </w:rPr>
        <w:t>）</w:t>
      </w:r>
      <w:r>
        <w:rPr>
          <w:rFonts w:ascii="Times New Roman" w:hAnsi="Times New Roman" w:eastAsia="Times New Roman" w:cs="Times New Roman"/>
          <w:spacing w:val="7"/>
        </w:rPr>
        <w:t>×1.4]×1.1</w:t>
      </w:r>
      <w:r>
        <w:rPr>
          <w:spacing w:val="7"/>
        </w:rPr>
        <w:t>（</w:t>
      </w:r>
      <w:r>
        <w:rPr>
          <w:spacing w:val="6"/>
        </w:rPr>
        <w:t>准格尔旗地</w:t>
      </w:r>
      <w:r>
        <w:t xml:space="preserve"> </w:t>
      </w:r>
      <w:r>
        <w:rPr>
          <w:spacing w:val="3"/>
        </w:rPr>
        <w:t>区影响系数）</w:t>
      </w:r>
      <w:r>
        <w:rPr>
          <w:rFonts w:ascii="Times New Roman" w:hAnsi="Times New Roman" w:eastAsia="Times New Roman" w:cs="Times New Roman"/>
          <w:spacing w:val="3"/>
        </w:rPr>
        <w:t>×1.1</w:t>
      </w:r>
      <w:r>
        <w:rPr>
          <w:spacing w:val="3"/>
        </w:rPr>
        <w:t>（煤价影响系数）</w:t>
      </w:r>
      <w:r>
        <w:rPr>
          <w:rFonts w:ascii="Times New Roman" w:hAnsi="Times New Roman" w:eastAsia="Times New Roman" w:cs="Times New Roman"/>
          <w:spacing w:val="3"/>
        </w:rPr>
        <w:t>×120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3"/>
        </w:rPr>
        <w:t>万</w:t>
      </w:r>
      <w:r>
        <w:rPr>
          <w:spacing w:val="2"/>
        </w:rPr>
        <w:t>吨（上一年度实际生</w:t>
      </w:r>
      <w:r>
        <w:t xml:space="preserve"> </w:t>
      </w:r>
      <w:r>
        <w:rPr>
          <w:spacing w:val="4"/>
        </w:rPr>
        <w:t>产矿石量）</w:t>
      </w:r>
      <w:r>
        <w:rPr>
          <w:rFonts w:ascii="Times New Roman" w:hAnsi="Times New Roman" w:eastAsia="Times New Roman" w:cs="Times New Roman"/>
          <w:spacing w:val="4"/>
        </w:rPr>
        <w:t>=1820.808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4"/>
        </w:rPr>
        <w:t>万元。</w:t>
      </w:r>
    </w:p>
    <w:sectPr>
      <w:footerReference r:id="rId7" w:type="default"/>
      <w:pgSz w:w="11906" w:h="16839"/>
      <w:pgMar w:top="1431" w:right="1523" w:bottom="1172" w:left="1535" w:header="0" w:footer="8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9F2C7">
    <w:pPr>
      <w:spacing w:before="1" w:line="232" w:lineRule="auto"/>
      <w:ind w:left="399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44D07">
    <w:pPr>
      <w:spacing w:line="234" w:lineRule="auto"/>
      <w:ind w:left="400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5B92D">
    <w:pPr>
      <w:spacing w:before="1" w:line="232" w:lineRule="auto"/>
      <w:ind w:left="40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52703CC"/>
    <w:rsid w:val="7223737B"/>
    <w:rsid w:val="798807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6354</Words>
  <Characters>6404</Characters>
  <TotalTime>0</TotalTime>
  <ScaleCrop>false</ScaleCrop>
  <LinksUpToDate>false</LinksUpToDate>
  <CharactersWithSpaces>6717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2025-03-04T17:06:00Z</dcterms:created>
  <dc:creator>lenovo</dc:creator>
  <cp:lastModifiedBy>张老师</cp:lastModifiedBy>
  <dcterms:modified xsi:type="dcterms:W3CDTF">2026-04-08T03:16:55Z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2025-04-10T16:44:05Z</vt:filetime>
  </property>
  <property fmtid="{D5CDD505-2E9C-101B-9397-08002B2CF9AE}" pid="4" name="KSOProductBuildVer">
    <vt:lpwstr>2052-12.1.0.25225</vt:lpwstr>
  </property>
  <property fmtid="{D5CDD505-2E9C-101B-9397-08002B2CF9AE}" pid="5" name="ICV">
    <vt:lpwstr>A1277FAB1634421ABF21C0272D24B699_13</vt:lpwstr>
  </property>
  <property fmtid="{D5CDD505-2E9C-101B-9397-08002B2CF9AE}" pid="6" name="KSOTemplateDocerSaveRecord">
    <vt:lpwstr>eyJoZGlkIjoiOGUxZTAwYmIyNzlhMjFiNmE0MTUxNjI3MDIxMzQ0OTkiLCJ1c2VySWQiOiIzNDA1ODgxNTYifQ==</vt:lpwstr>
  </property>
</Properties>
</file>